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2C" w:rsidRDefault="00AB452C">
      <w:pPr>
        <w:pStyle w:val="BodyText"/>
        <w:spacing w:line="240" w:lineRule="auto"/>
        <w:jc w:val="center"/>
        <w:rPr>
          <w:rFonts w:ascii="Times New Roman" w:hAnsi="Times New Roman"/>
        </w:rPr>
      </w:pPr>
    </w:p>
    <w:p w:rsidR="00AB452C" w:rsidRDefault="00AB452C">
      <w:pPr>
        <w:pStyle w:val="BodyText"/>
        <w:spacing w:line="240" w:lineRule="auto"/>
        <w:jc w:val="center"/>
        <w:rPr>
          <w:rFonts w:ascii="Times New Roman" w:hAnsi="Times New Roman"/>
        </w:rPr>
      </w:pP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FIȘA MĂSURII M7/6B</w:t>
      </w:r>
    </w:p>
    <w:p w:rsidR="00EB62EA" w:rsidRPr="00EB62EA" w:rsidRDefault="00EB62EA" w:rsidP="00EB62EA">
      <w:pPr>
        <w:spacing w:line="276" w:lineRule="auto"/>
        <w:jc w:val="both"/>
        <w:rPr>
          <w:rFonts w:ascii="Trebuchet MS" w:eastAsia="Arial Unicode MS" w:hAnsi="Trebuchet MS" w:cs="Times New Roman"/>
          <w:b/>
          <w:i/>
          <w:color w:val="auto"/>
          <w:kern w:val="0"/>
          <w:sz w:val="22"/>
          <w:szCs w:val="22"/>
          <w:u w:val="single"/>
          <w:lang w:val="ro-RO" w:eastAsia="en-US" w:bidi="ar-SA"/>
        </w:rPr>
      </w:pPr>
      <w:r w:rsidRPr="00EB62EA">
        <w:rPr>
          <w:rFonts w:ascii="Trebuchet MS" w:eastAsia="Calibri" w:hAnsi="Trebuchet MS" w:cs="Times New Roman"/>
          <w:b/>
          <w:color w:val="auto"/>
          <w:kern w:val="0"/>
          <w:sz w:val="22"/>
          <w:szCs w:val="22"/>
          <w:u w:val="single"/>
          <w:lang w:val="ro-RO" w:eastAsia="en-US" w:bidi="ar-SA"/>
        </w:rPr>
        <w:t xml:space="preserve">Denumirea măsurii: </w:t>
      </w:r>
      <w:r w:rsidRPr="00EB62EA">
        <w:rPr>
          <w:rFonts w:ascii="Trebuchet MS" w:eastAsia="Arial Unicode MS" w:hAnsi="Trebuchet MS" w:cs="Times New Roman"/>
          <w:b/>
          <w:color w:val="auto"/>
          <w:kern w:val="0"/>
          <w:sz w:val="22"/>
          <w:szCs w:val="22"/>
          <w:u w:val="single"/>
          <w:lang w:val="ro-RO" w:eastAsia="en-US" w:bidi="ar-SA"/>
        </w:rPr>
        <w:t>C</w:t>
      </w:r>
      <w:r w:rsidRPr="00EB62EA">
        <w:rPr>
          <w:rFonts w:ascii="Trebuchet MS" w:eastAsia="Arial Unicode MS" w:hAnsi="Trebuchet MS" w:cs="Times New Roman"/>
          <w:b/>
          <w:i/>
          <w:color w:val="auto"/>
          <w:kern w:val="0"/>
          <w:sz w:val="22"/>
          <w:szCs w:val="22"/>
          <w:u w:val="single"/>
          <w:lang w:val="ro-RO" w:eastAsia="en-US" w:bidi="ar-SA"/>
        </w:rPr>
        <w:t>REAREA, MODERNIZAREA/ DOTAREA  INFRASTRUCTURII SOCIALE  ȘI INTEGRAREA MINORITĂȚILOR</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Codul măsurii: M7/6B</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 xml:space="preserve">Tipul măsurii: </w:t>
      </w:r>
      <w:r w:rsidRPr="00EB62EA">
        <w:rPr>
          <w:rFonts w:ascii="Trebuchet MS" w:eastAsia="Arial Unicode MS" w:hAnsi="Trebuchet MS" w:cs="Times New Roman"/>
          <w:color w:val="auto"/>
          <w:kern w:val="0"/>
          <w:sz w:val="22"/>
          <w:szCs w:val="22"/>
          <w:shd w:val="clear" w:color="auto" w:fill="262626"/>
          <w:lang w:val="ro-RO" w:eastAsia="en-US" w:bidi="ar-SA"/>
        </w:rPr>
        <w:t>□</w:t>
      </w:r>
      <w:r w:rsidRPr="00EB62EA">
        <w:rPr>
          <w:rFonts w:ascii="Trebuchet MS" w:eastAsia="Arial Unicode MS" w:hAnsi="Trebuchet MS" w:cs="Times New Roman"/>
          <w:color w:val="auto"/>
          <w:kern w:val="0"/>
          <w:sz w:val="22"/>
          <w:szCs w:val="22"/>
          <w:shd w:val="clear" w:color="auto" w:fill="FFFFFF"/>
          <w:lang w:val="ro-RO" w:eastAsia="en-US" w:bidi="ar-SA"/>
        </w:rPr>
        <w:t xml:space="preserve"> </w:t>
      </w:r>
      <w:r w:rsidRPr="00EB62EA">
        <w:rPr>
          <w:rFonts w:ascii="Trebuchet MS" w:eastAsia="Arial Unicode MS" w:hAnsi="Trebuchet MS" w:cs="Times New Roman"/>
          <w:color w:val="auto"/>
          <w:kern w:val="0"/>
          <w:sz w:val="22"/>
          <w:szCs w:val="22"/>
          <w:lang w:val="ro-RO" w:eastAsia="en-US" w:bidi="ar-SA"/>
        </w:rPr>
        <w:t>INVESTIȚII</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 xml:space="preserve">                     </w:t>
      </w:r>
      <w:r w:rsidRPr="00EB62EA">
        <w:rPr>
          <w:rFonts w:ascii="Trebuchet MS" w:eastAsia="Arial Unicode MS" w:hAnsi="Trebuchet MS" w:cs="Times New Roman"/>
          <w:color w:val="auto"/>
          <w:kern w:val="0"/>
          <w:sz w:val="22"/>
          <w:szCs w:val="22"/>
          <w:shd w:val="clear" w:color="auto" w:fill="FFFFFF"/>
          <w:lang w:val="ro-RO" w:eastAsia="en-US" w:bidi="ar-SA"/>
        </w:rPr>
        <w:t>□  SERVICII</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ab/>
        <w:t xml:space="preserve">          □SPRIJIN FORFETAR</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p>
    <w:p w:rsidR="00EB62EA" w:rsidRPr="00EB62EA" w:rsidRDefault="00EB62EA" w:rsidP="00EB62EA">
      <w:pPr>
        <w:numPr>
          <w:ilvl w:val="0"/>
          <w:numId w:val="4"/>
        </w:numPr>
        <w:spacing w:after="160" w:line="254" w:lineRule="auto"/>
        <w:contextualSpacing/>
        <w:jc w:val="both"/>
        <w:rPr>
          <w:rFonts w:ascii="Trebuchet MS" w:eastAsia="Arial Unicode MS" w:hAnsi="Trebuchet MS" w:cs="Times New Roman"/>
          <w:b/>
          <w:color w:val="auto"/>
          <w:kern w:val="0"/>
          <w:sz w:val="22"/>
          <w:szCs w:val="22"/>
          <w:lang w:val="ro-RO" w:eastAsia="en-US" w:bidi="ar-SA"/>
        </w:rPr>
      </w:pPr>
      <w:r w:rsidRPr="00EB62EA">
        <w:rPr>
          <w:rFonts w:ascii="Trebuchet MS" w:eastAsia="Arial Unicode MS" w:hAnsi="Trebuchet MS" w:cs="Times New Roman"/>
          <w:b/>
          <w:color w:val="auto"/>
          <w:kern w:val="0"/>
          <w:sz w:val="22"/>
          <w:szCs w:val="22"/>
          <w:lang w:val="ro-RO" w:eastAsia="en-US" w:bidi="ar-SA"/>
        </w:rPr>
        <w:t>Descrierea generală a măsurii, inclusiv a logicii de intervenție a acesteia și a contribuției la prioritățile strategiei, la domeniile de intervenție, la obiectivele transversale și a complementarității cu alte măsuri din SDL</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În teritoriul Valea Șomuzului există numeroase decalaje în ceea ce privește calitatea vieții, în comparație cu mediul urban, în special în legătură cu infrastructura socială. În teritoriul Valea Șomuzului infrastructura socială constă în mare parte din servicii de asistență socială în cadrul primăriilor comunelor. Serviciile de asistență socială din cadrul primăriilor răspund nevoilor cele mai frecvente de asistență socială înregistrate în teritoriu și au la bază în g</w:t>
      </w:r>
      <w:r w:rsidRPr="00EB62EA">
        <w:rPr>
          <w:rFonts w:ascii="Trebuchet MS" w:eastAsia="Calibri" w:hAnsi="Trebuchet MS" w:cs="Times New Roman"/>
          <w:color w:val="000000"/>
          <w:kern w:val="0"/>
          <w:sz w:val="22"/>
          <w:szCs w:val="22"/>
          <w:lang w:val="ro-RO" w:eastAsia="en-US" w:bidi="ar-SA"/>
        </w:rPr>
        <w:t>e</w:t>
      </w:r>
      <w:r w:rsidRPr="00EB62EA">
        <w:rPr>
          <w:rFonts w:ascii="Trebuchet MS" w:eastAsia="Calibri" w:hAnsi="Trebuchet MS" w:cs="Times New Roman"/>
          <w:color w:val="auto"/>
          <w:kern w:val="0"/>
          <w:sz w:val="22"/>
          <w:szCs w:val="22"/>
          <w:lang w:val="ro-RO" w:eastAsia="en-US" w:bidi="ar-SA"/>
        </w:rPr>
        <w:t xml:space="preserve">neral sărăcia sau veniturile foarte mici cu care o familie/persoană sunt nevoite să trăiască. Serviciile din cadrul primăriilor desfășoară activități de anchetă socială, consiliere și acordarea de sprijin financiar categoriilor defavorizate. </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Existența precum și calitatea infrastructurii sociale este impusă de necesitatea existenței unor spații optime pentru copii, în vederea petrecerii timpului liber sau  de îngrijire a școlarilor în structuri de tip after school. Infrastructura socială în ceea ce privește structuri de tip after school actuală existentă în regiunea Valea Șomuzului nu are capacitatea de a susține un nivel de trai decent.  Nu există facilități suficiente pentru copii de vârstă școlară de tip after school, astfel fiindu-le restricționat accesul la activități educaționale în afara curriculei școlare precum și la activități recreative. Aceste insuficiențe de la nivelul teritoriului contribuie la accentuarea inegalităților de șanse între copii din mediul urban și rural. Pentru a reduce deficitul existent, care creează discrepanțe în ceea ce privește posibilitățile de dezvoltare se impune dezvoltarea infrastructurii sociale care va asigura egalitatea de șanse și evitarea desegregării. Investițiile în infrastructura socială pot contribui și la stoparea fenomenului de depopulare din mediul rural prin reducerea decalajelor existente între sat și oraș. Comunitatea de romi din cadrul teritoriului Valea Șomuzului se confruntă cu probleme de integrare ce conduc la marginalizarea acestei categorii, în special a copiilor. Prin intermediul centrelor de tip after school se urmărește și susținerea copiilor romi, în vederea reducerii abandonului școlar. Conform tabelului ”Populația stabilă după etnie-județe-municipii-orașe-comune-RPL-2011”, în teritoriul GAL Valea Șomuzului există următoarele minorități înregistrate: romi – 25 persoane (comuna Baia, reprezentând un procent de </w:t>
      </w:r>
      <w:r w:rsidRPr="00EB62EA">
        <w:rPr>
          <w:rFonts w:ascii="Trebuchet MS" w:eastAsia="Calibri" w:hAnsi="Trebuchet MS" w:cs="Times New Roman"/>
          <w:color w:val="000000"/>
          <w:kern w:val="0"/>
          <w:sz w:val="22"/>
          <w:szCs w:val="22"/>
          <w:lang w:val="ro-RO" w:eastAsia="en-US" w:bidi="ar-SA"/>
        </w:rPr>
        <w:t>0,07%</w:t>
      </w:r>
      <w:r w:rsidRPr="00EB62EA">
        <w:rPr>
          <w:rFonts w:ascii="Trebuchet MS" w:eastAsia="Calibri" w:hAnsi="Trebuchet MS" w:cs="Times New Roman"/>
          <w:color w:val="auto"/>
          <w:kern w:val="0"/>
          <w:sz w:val="22"/>
          <w:szCs w:val="22"/>
          <w:lang w:val="ro-RO" w:eastAsia="en-US" w:bidi="ar-SA"/>
        </w:rPr>
        <w:t xml:space="preserve">), ucrainieni – 5 persoane (comuna Baia, reprezentând un procent de </w:t>
      </w:r>
      <w:r w:rsidRPr="00EB62EA">
        <w:rPr>
          <w:rFonts w:ascii="Trebuchet MS" w:eastAsia="Calibri" w:hAnsi="Trebuchet MS" w:cs="Times New Roman"/>
          <w:color w:val="000000"/>
          <w:kern w:val="0"/>
          <w:sz w:val="22"/>
          <w:szCs w:val="22"/>
          <w:lang w:val="ro-RO" w:eastAsia="en-US" w:bidi="ar-SA"/>
        </w:rPr>
        <w:t>0,01%</w:t>
      </w:r>
      <w:r w:rsidRPr="00EB62EA">
        <w:rPr>
          <w:rFonts w:ascii="Trebuchet MS" w:eastAsia="Calibri" w:hAnsi="Trebuchet MS" w:cs="Times New Roman"/>
          <w:color w:val="auto"/>
          <w:kern w:val="0"/>
          <w:sz w:val="22"/>
          <w:szCs w:val="22"/>
          <w:lang w:val="ro-RO" w:eastAsia="en-US" w:bidi="ar-SA"/>
        </w:rPr>
        <w:t xml:space="preserve">), </w:t>
      </w:r>
      <w:r w:rsidRPr="00EB62EA">
        <w:rPr>
          <w:rFonts w:ascii="Trebuchet MS" w:eastAsia="Calibri" w:hAnsi="Trebuchet MS" w:cs="Times New Roman"/>
          <w:color w:val="000000"/>
          <w:kern w:val="0"/>
          <w:sz w:val="22"/>
          <w:szCs w:val="22"/>
          <w:lang w:val="ro-RO" w:eastAsia="en-US" w:bidi="ar-SA"/>
        </w:rPr>
        <w:t xml:space="preserve">iar pentru un procent de 2,71% informația despre etnie nu este disponibilă. </w:t>
      </w:r>
      <w:r w:rsidRPr="00EB62EA">
        <w:rPr>
          <w:rFonts w:ascii="Trebuchet MS" w:eastAsia="Calibri" w:hAnsi="Trebuchet MS" w:cs="Times New Roman"/>
          <w:color w:val="auto"/>
          <w:kern w:val="0"/>
          <w:sz w:val="22"/>
          <w:szCs w:val="22"/>
          <w:lang w:val="ro-RO" w:eastAsia="en-US" w:bidi="ar-SA"/>
        </w:rPr>
        <w:t xml:space="preserve"> </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Sursele de finanțare a investițiilor propuse în cadrul proiectului se vor constitui în conformitate cu legislația în vigoare. Pentru asigurarea sustenabilității proiectelor, beneficiarii pot solicita finanțare prin Axa 5 POCU – Dezvoltarea locală plasată sub responsabilitatea comunității, obiectiv specific 5.2 - Reducerea numărului de persoane aflate în risc de sărăcie și </w:t>
      </w:r>
      <w:r w:rsidRPr="00EB62EA">
        <w:rPr>
          <w:rFonts w:ascii="Trebuchet MS" w:eastAsia="Calibri" w:hAnsi="Trebuchet MS" w:cs="Times New Roman"/>
          <w:color w:val="auto"/>
          <w:kern w:val="0"/>
          <w:sz w:val="22"/>
          <w:szCs w:val="22"/>
          <w:lang w:val="ro-RO" w:eastAsia="en-US" w:bidi="ar-SA"/>
        </w:rPr>
        <w:lastRenderedPageBreak/>
        <w:t xml:space="preserve">excluziune socială din comunitățile marginalizate din zona rurală și orașe cu o populație de până la 20.000 locuitori prin implementarea de măsuri/ operațiuni integrate în contextul mecanismului de DLRC, cu respectarea condițiilor specifice. </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Proiectele finanțate în cadrul măsurii nu vor fi de tip rezidențial. Proiectele de infrastructură socială vor asigura funcționarea prin operaționalizarea infrastructurilor de către o entitate acreditată ca furnizor de servicii sociale. </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Măsura contribuie la obiectivul de dezvoltare rurală - Obținerea unei dezvoltări teritoriale echilibrate a economiilor și comunităților rurale, inclusiv crearea și menținerea de locuri de muncă, conform Reg. (UE) nr. 1305/2013, art.4.</w:t>
      </w:r>
    </w:p>
    <w:p w:rsidR="00EB62EA" w:rsidRPr="00EB62EA" w:rsidRDefault="00EB62EA" w:rsidP="00EB62EA">
      <w:pPr>
        <w:spacing w:line="276" w:lineRule="auto"/>
        <w:ind w:firstLine="567"/>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Obiectivele specifice ale măsurii</w:t>
      </w:r>
    </w:p>
    <w:p w:rsidR="00EB62EA" w:rsidRPr="00EB62EA" w:rsidRDefault="00EB62EA" w:rsidP="00EB62EA">
      <w:pPr>
        <w:numPr>
          <w:ilvl w:val="0"/>
          <w:numId w:val="5"/>
        </w:numPr>
        <w:spacing w:after="160" w:line="254" w:lineRule="auto"/>
        <w:contextualSpacing/>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Crearea/modernizarea/dotarea unor structuri de tip after school</w:t>
      </w:r>
    </w:p>
    <w:p w:rsidR="00EB62EA" w:rsidRPr="00EB62EA" w:rsidRDefault="00EB62EA" w:rsidP="00EB62EA">
      <w:pPr>
        <w:numPr>
          <w:ilvl w:val="0"/>
          <w:numId w:val="5"/>
        </w:numPr>
        <w:spacing w:after="160" w:line="254" w:lineRule="auto"/>
        <w:contextualSpacing/>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Susținerea copiilor, inclusiv a celor care aparțin minorității rome în activitățile extra școlare</w:t>
      </w:r>
    </w:p>
    <w:p w:rsidR="00EB62EA" w:rsidRPr="00EB62EA" w:rsidRDefault="00EB62EA" w:rsidP="00EB62EA">
      <w:pPr>
        <w:widowControl w:val="0"/>
        <w:autoSpaceDE w:val="0"/>
        <w:autoSpaceDN w:val="0"/>
        <w:adjustRightInd w:val="0"/>
        <w:spacing w:line="276" w:lineRule="auto"/>
        <w:ind w:firstLine="567"/>
        <w:jc w:val="both"/>
        <w:rPr>
          <w:rFonts w:ascii="Trebuchet MS" w:eastAsia="Arial Unicode MS"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Măsura contribuie la prioritățile prevăzute la art. 5, Reg. (UE) nr. 1305/2013 - </w:t>
      </w:r>
      <w:r w:rsidRPr="00EB62EA">
        <w:rPr>
          <w:rFonts w:ascii="Trebuchet MS" w:eastAsia="Arial Unicode MS" w:hAnsi="Trebuchet MS" w:cs="Times New Roman"/>
          <w:color w:val="auto"/>
          <w:kern w:val="0"/>
          <w:sz w:val="22"/>
          <w:szCs w:val="22"/>
          <w:lang w:val="ro-RO" w:eastAsia="en-US" w:bidi="ar-SA"/>
        </w:rPr>
        <w:t xml:space="preserve">P6. Promovarea incluziunii sociale, a reducerii sărăciei și a dezvoltării economice în zonele rurale </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Măsura corespunde obiectivelor art.20alin (1), lit (d)– Servicii de bază și reînnoirea satelor în zonele rurale din Reg. (UE)</w:t>
      </w:r>
      <w:r w:rsidRPr="00EB62EA">
        <w:rPr>
          <w:rFonts w:ascii="Trebuchet MS" w:eastAsia="Calibri" w:hAnsi="Trebuchet MS" w:cs="Times New Roman"/>
          <w:color w:val="auto"/>
          <w:kern w:val="0"/>
          <w:sz w:val="22"/>
          <w:szCs w:val="22"/>
          <w:lang w:val="ro-RO" w:eastAsia="en-US" w:bidi="ar-SA"/>
        </w:rPr>
        <w:t xml:space="preserve"> nr. 1305/2013</w:t>
      </w:r>
    </w:p>
    <w:p w:rsidR="00EB62EA" w:rsidRPr="00EB62EA" w:rsidRDefault="00EB62EA" w:rsidP="00EB62EA">
      <w:pPr>
        <w:autoSpaceDE w:val="0"/>
        <w:autoSpaceDN w:val="0"/>
        <w:adjustRightInd w:val="0"/>
        <w:spacing w:line="276" w:lineRule="auto"/>
        <w:ind w:firstLine="567"/>
        <w:jc w:val="both"/>
        <w:rPr>
          <w:rFonts w:ascii="Trebuchet MS" w:eastAsia="Arial Unicode MS"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Măsura contribuie la Domeniul de intervenție </w:t>
      </w:r>
      <w:r w:rsidRPr="00EB62EA">
        <w:rPr>
          <w:rFonts w:ascii="Trebuchet MS" w:eastAsia="Arial Unicode MS" w:hAnsi="Trebuchet MS" w:cs="Times New Roman"/>
          <w:color w:val="auto"/>
          <w:kern w:val="0"/>
          <w:sz w:val="22"/>
          <w:szCs w:val="22"/>
          <w:lang w:val="ro-RO" w:eastAsia="en-US" w:bidi="ar-SA"/>
        </w:rPr>
        <w:t xml:space="preserve">6B) Încurajarea dezvoltării locale în zonele rurale , prevăzut la art. 5, Reg. (UE)  </w:t>
      </w:r>
      <w:r w:rsidRPr="00EB62EA">
        <w:rPr>
          <w:rFonts w:ascii="Trebuchet MS" w:eastAsia="Calibri" w:hAnsi="Trebuchet MS" w:cs="Times New Roman"/>
          <w:color w:val="auto"/>
          <w:kern w:val="0"/>
          <w:sz w:val="22"/>
          <w:szCs w:val="22"/>
          <w:lang w:val="ro-RO" w:eastAsia="en-US" w:bidi="ar-SA"/>
        </w:rPr>
        <w:t>nr. 1305/2013.</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 xml:space="preserve">Măsura contribuie la obiectivele transversale ale Reg (UE)  </w:t>
      </w:r>
      <w:r w:rsidRPr="00EB62EA">
        <w:rPr>
          <w:rFonts w:ascii="Trebuchet MS" w:eastAsia="Calibri" w:hAnsi="Trebuchet MS" w:cs="Times New Roman"/>
          <w:color w:val="auto"/>
          <w:kern w:val="0"/>
          <w:sz w:val="22"/>
          <w:szCs w:val="22"/>
          <w:lang w:val="ro-RO" w:eastAsia="en-US" w:bidi="ar-SA"/>
        </w:rPr>
        <w:t>nr. 1305/2013: inovare, mediu</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Sprijinul acordat dezvoltării infrastructurii sociale va contribui la creșterea nivelului de trai al populației prin formarea unor generații mai bine pregătite, deschise spre noi oportunități și capabile să aducă inovații și dezvoltare în zonele rurale. Prin proiectele întreprinse se urmărește adoptarea unor soluții de eficiență energetică în scopul reducerii consumului de energie și protejării mediului.</w:t>
      </w: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 xml:space="preserve">Complementaritatea cu alte măsuri din SDL: </w:t>
      </w:r>
      <w:r w:rsidRPr="00EB62EA">
        <w:rPr>
          <w:rFonts w:ascii="Trebuchet MS" w:eastAsia="Calibri" w:hAnsi="Trebuchet MS" w:cs="Times New Roman"/>
          <w:color w:val="auto"/>
          <w:kern w:val="0"/>
          <w:sz w:val="22"/>
          <w:szCs w:val="22"/>
          <w:lang w:val="ro-RO" w:eastAsia="en-US" w:bidi="ar-SA"/>
        </w:rPr>
        <w:t>Măsura M7/6B este complementară cu măsurile M8/6B , adresându-se acelorași categorii de beneficiari direcți</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 xml:space="preserve">Sinergia cu alte măsuri din SDL: </w:t>
      </w:r>
      <w:r w:rsidRPr="00EB62EA">
        <w:rPr>
          <w:rFonts w:ascii="Trebuchet MS" w:eastAsia="Calibri" w:hAnsi="Trebuchet MS" w:cs="Times New Roman"/>
          <w:color w:val="auto"/>
          <w:kern w:val="0"/>
          <w:sz w:val="22"/>
          <w:szCs w:val="22"/>
          <w:lang w:val="ro-RO" w:eastAsia="en-US" w:bidi="ar-SA"/>
        </w:rPr>
        <w:t xml:space="preserve">Măsura M7/6B contribuie la prioritatea </w:t>
      </w:r>
      <w:r w:rsidRPr="00EB62EA">
        <w:rPr>
          <w:rFonts w:ascii="Trebuchet MS" w:eastAsia="Arial Unicode MS" w:hAnsi="Trebuchet MS" w:cs="Times New Roman"/>
          <w:color w:val="auto"/>
          <w:kern w:val="0"/>
          <w:sz w:val="22"/>
          <w:szCs w:val="22"/>
          <w:lang w:val="ro-RO" w:eastAsia="en-US" w:bidi="ar-SA"/>
        </w:rPr>
        <w:t>P6- Promovarea incluziunii sociale, a reducerii sărăciei și a dezvoltării economice în zonele rurale împreună cu măsurile M6/6A, M8/6B, M10/6C</w:t>
      </w: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2. Valoarea adăugată a măsurii</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Dezvoltarea economică și socială durabilă a spațiului rural ce face parte din teritoriul Valea Șomuzului este indispensabil legată de îmbunătățirea infrastructurii rurale existente și a serviciilor de bază. Valoarea adăugată a măsurii este generată de creșterea nivelului de trai al populației, din contribuția pe care o infrastructură socială competitivă o are la formarea unor generații de tineri pregătiți să facă față provocărilor actuale. Măsura contribuie la rezolvarea nevoilor identificate în analiza diagnostic și analiza SWOT, respectiv:</w:t>
      </w:r>
    </w:p>
    <w:p w:rsidR="00EB62EA" w:rsidRPr="00EB62EA" w:rsidRDefault="00EB62EA" w:rsidP="00EB62EA">
      <w:pPr>
        <w:numPr>
          <w:ilvl w:val="0"/>
          <w:numId w:val="5"/>
        </w:numPr>
        <w:spacing w:after="160" w:line="254" w:lineRule="auto"/>
        <w:contextualSpacing/>
        <w:jc w:val="both"/>
        <w:rPr>
          <w:rFonts w:ascii="Trebuchet MS" w:hAnsi="Trebuchet MS" w:cs="Times New Roman"/>
          <w:color w:val="auto"/>
          <w:kern w:val="0"/>
          <w:sz w:val="22"/>
          <w:szCs w:val="22"/>
          <w:lang w:val="ro-RO" w:eastAsia="ja-JP" w:bidi="ar-SA"/>
        </w:rPr>
      </w:pPr>
      <w:r w:rsidRPr="00EB62EA">
        <w:rPr>
          <w:rFonts w:ascii="Trebuchet MS" w:hAnsi="Trebuchet MS" w:cs="Times New Roman"/>
          <w:color w:val="auto"/>
          <w:kern w:val="0"/>
          <w:sz w:val="22"/>
          <w:szCs w:val="22"/>
          <w:lang w:val="ro-RO" w:eastAsia="ja-JP" w:bidi="ar-SA"/>
        </w:rPr>
        <w:t>Inexistența unor facilități de tip after school</w:t>
      </w:r>
    </w:p>
    <w:p w:rsidR="00EB62EA" w:rsidRPr="00EB62EA" w:rsidRDefault="00EB62EA" w:rsidP="00EB62EA">
      <w:pPr>
        <w:numPr>
          <w:ilvl w:val="0"/>
          <w:numId w:val="5"/>
        </w:numPr>
        <w:spacing w:after="160" w:line="254" w:lineRule="auto"/>
        <w:contextualSpacing/>
        <w:jc w:val="both"/>
        <w:rPr>
          <w:rFonts w:ascii="Trebuchet MS" w:hAnsi="Trebuchet MS" w:cs="Times New Roman"/>
          <w:color w:val="auto"/>
          <w:kern w:val="0"/>
          <w:sz w:val="22"/>
          <w:szCs w:val="22"/>
          <w:lang w:val="ro-RO" w:eastAsia="ja-JP" w:bidi="ar-SA"/>
        </w:rPr>
      </w:pPr>
      <w:r w:rsidRPr="00EB62EA">
        <w:rPr>
          <w:rFonts w:ascii="Trebuchet MS" w:hAnsi="Trebuchet MS" w:cs="Times New Roman"/>
          <w:color w:val="auto"/>
          <w:kern w:val="0"/>
          <w:sz w:val="22"/>
          <w:szCs w:val="22"/>
          <w:lang w:val="ro-RO" w:eastAsia="ja-JP" w:bidi="ar-SA"/>
        </w:rPr>
        <w:t>Infrastructura socială și educațională slab dezvoltată;</w:t>
      </w:r>
    </w:p>
    <w:p w:rsidR="00EB62EA" w:rsidRPr="00EB62EA" w:rsidRDefault="00EB62EA" w:rsidP="00EB62EA">
      <w:pPr>
        <w:numPr>
          <w:ilvl w:val="0"/>
          <w:numId w:val="5"/>
        </w:numPr>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hAnsi="Trebuchet MS" w:cs="Times New Roman"/>
          <w:color w:val="auto"/>
          <w:kern w:val="0"/>
          <w:sz w:val="22"/>
          <w:szCs w:val="22"/>
          <w:lang w:val="ro-RO" w:eastAsia="ja-JP" w:bidi="ar-SA"/>
        </w:rPr>
        <w:t>Nivel scăzut al calității vieții și al confortului populației;</w:t>
      </w:r>
    </w:p>
    <w:p w:rsidR="00EB62EA" w:rsidRPr="00EB62EA" w:rsidRDefault="00EB62EA" w:rsidP="00EB62EA">
      <w:pPr>
        <w:numPr>
          <w:ilvl w:val="0"/>
          <w:numId w:val="5"/>
        </w:numPr>
        <w:spacing w:after="160" w:line="254" w:lineRule="auto"/>
        <w:contextualSpacing/>
        <w:jc w:val="both"/>
        <w:rPr>
          <w:rFonts w:ascii="Trebuchet MS" w:hAnsi="Trebuchet MS" w:cs="Times New Roman"/>
          <w:color w:val="auto"/>
          <w:kern w:val="0"/>
          <w:sz w:val="22"/>
          <w:szCs w:val="22"/>
          <w:lang w:val="ro-RO" w:eastAsia="ja-JP" w:bidi="ar-SA"/>
        </w:rPr>
      </w:pPr>
      <w:r w:rsidRPr="00EB62EA">
        <w:rPr>
          <w:rFonts w:ascii="Trebuchet MS" w:hAnsi="Trebuchet MS" w:cs="Times New Roman"/>
          <w:color w:val="auto"/>
          <w:kern w:val="0"/>
          <w:sz w:val="22"/>
          <w:szCs w:val="22"/>
          <w:lang w:val="ro-RO" w:eastAsia="ja-JP" w:bidi="ar-SA"/>
        </w:rPr>
        <w:t>Capacitate redusă de a asigura servicii sociale pentru toate grupurile vulnerabile</w:t>
      </w:r>
    </w:p>
    <w:p w:rsidR="00EB62EA" w:rsidRPr="00EB62EA" w:rsidRDefault="00EB62EA" w:rsidP="00EB62EA">
      <w:pPr>
        <w:numPr>
          <w:ilvl w:val="0"/>
          <w:numId w:val="5"/>
        </w:numPr>
        <w:spacing w:after="160" w:line="254" w:lineRule="auto"/>
        <w:contextualSpacing/>
        <w:jc w:val="both"/>
        <w:rPr>
          <w:rFonts w:ascii="Trebuchet MS" w:hAnsi="Trebuchet MS" w:cs="Times New Roman"/>
          <w:color w:val="auto"/>
          <w:kern w:val="0"/>
          <w:sz w:val="22"/>
          <w:szCs w:val="22"/>
          <w:lang w:val="ro-RO" w:eastAsia="ja-JP" w:bidi="ar-SA"/>
        </w:rPr>
      </w:pPr>
      <w:r w:rsidRPr="00EB62EA">
        <w:rPr>
          <w:rFonts w:ascii="Trebuchet MS" w:hAnsi="Trebuchet MS" w:cs="Times New Roman"/>
          <w:color w:val="auto"/>
          <w:kern w:val="0"/>
          <w:sz w:val="22"/>
          <w:szCs w:val="22"/>
          <w:lang w:val="ro-RO" w:eastAsia="ja-JP" w:bidi="ar-SA"/>
        </w:rPr>
        <w:t>Rata sărăciei accentuată</w:t>
      </w:r>
    </w:p>
    <w:p w:rsidR="00EB62EA" w:rsidRPr="00EB62EA" w:rsidRDefault="008F224A" w:rsidP="00EB62EA">
      <w:pPr>
        <w:spacing w:line="276" w:lineRule="auto"/>
        <w:jc w:val="both"/>
        <w:rPr>
          <w:rFonts w:ascii="Trebuchet MS" w:eastAsia="Calibri" w:hAnsi="Trebuchet MS" w:cs="Times New Roman"/>
          <w:color w:val="auto"/>
          <w:kern w:val="0"/>
          <w:sz w:val="22"/>
          <w:szCs w:val="22"/>
          <w:lang w:val="ro-RO" w:eastAsia="en-US" w:bidi="ar-SA"/>
        </w:rPr>
      </w:pPr>
      <w:r>
        <w:rPr>
          <w:rFonts w:ascii="Trebuchet MS" w:hAnsi="Trebuchet MS" w:cs="Times New Roman"/>
          <w:color w:val="auto"/>
          <w:kern w:val="0"/>
          <w:sz w:val="22"/>
          <w:szCs w:val="22"/>
          <w:lang w:val="ro-RO" w:eastAsia="ja-JP" w:bidi="ar-SA"/>
        </w:rPr>
        <w:t>Î</w:t>
      </w:r>
      <w:r w:rsidR="00EB62EA" w:rsidRPr="00EB62EA">
        <w:rPr>
          <w:rFonts w:ascii="Trebuchet MS" w:hAnsi="Trebuchet MS" w:cs="Times New Roman"/>
          <w:color w:val="auto"/>
          <w:kern w:val="0"/>
          <w:sz w:val="22"/>
          <w:szCs w:val="22"/>
          <w:lang w:val="ro-RO" w:eastAsia="ja-JP" w:bidi="ar-SA"/>
        </w:rPr>
        <w:t>n urma implementării proiectelor de infrastructură socială, se va asigura cadrul propice pentru desfășurarea adecvată a activității de tip  after school a peste 80 de copii.</w:t>
      </w:r>
      <w:r w:rsidR="00EB62EA" w:rsidRPr="00EB62EA">
        <w:rPr>
          <w:rFonts w:ascii="Trebuchet MS" w:eastAsia="Calibri" w:hAnsi="Trebuchet MS" w:cs="Times New Roman"/>
          <w:color w:val="auto"/>
          <w:kern w:val="0"/>
          <w:sz w:val="22"/>
          <w:szCs w:val="22"/>
          <w:lang w:val="ro-RO" w:eastAsia="en-US" w:bidi="ar-SA"/>
        </w:rPr>
        <w:t xml:space="preserve">Măsura se dorește a se </w:t>
      </w:r>
      <w:r w:rsidR="00EB62EA" w:rsidRPr="00EB62EA">
        <w:rPr>
          <w:rFonts w:ascii="Trebuchet MS" w:eastAsia="Calibri" w:hAnsi="Trebuchet MS" w:cs="Times New Roman"/>
          <w:color w:val="auto"/>
          <w:kern w:val="0"/>
          <w:sz w:val="22"/>
          <w:szCs w:val="22"/>
          <w:lang w:val="ro-RO" w:eastAsia="en-US" w:bidi="ar-SA"/>
        </w:rPr>
        <w:lastRenderedPageBreak/>
        <w:t xml:space="preserve">concretiza în proiecte de utilitate publică cu impact social, și ulterior economic la nivelul comunității. </w:t>
      </w:r>
    </w:p>
    <w:p w:rsidR="00EB62EA" w:rsidRPr="00EB62EA" w:rsidRDefault="00EB62EA" w:rsidP="00EB62EA">
      <w:pPr>
        <w:spacing w:line="276" w:lineRule="auto"/>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autoSpaceDE w:val="0"/>
        <w:autoSpaceDN w:val="0"/>
        <w:adjustRightInd w:val="0"/>
        <w:spacing w:line="276" w:lineRule="auto"/>
        <w:jc w:val="both"/>
        <w:rPr>
          <w:rFonts w:ascii="Trebuchet MS" w:eastAsia="Arial Unicode MS" w:hAnsi="Trebuchet MS" w:cs="Times New Roman"/>
          <w:b/>
          <w:color w:val="auto"/>
          <w:kern w:val="0"/>
          <w:sz w:val="22"/>
          <w:szCs w:val="22"/>
          <w:lang w:val="ro-RO" w:eastAsia="en-US" w:bidi="ar-SA"/>
        </w:rPr>
      </w:pPr>
      <w:r w:rsidRPr="00EB62EA">
        <w:rPr>
          <w:rFonts w:ascii="Trebuchet MS" w:eastAsia="Arial Unicode MS" w:hAnsi="Trebuchet MS" w:cs="Times New Roman"/>
          <w:b/>
          <w:color w:val="auto"/>
          <w:kern w:val="0"/>
          <w:sz w:val="22"/>
          <w:szCs w:val="22"/>
          <w:lang w:val="ro-RO" w:eastAsia="en-US" w:bidi="ar-SA"/>
        </w:rPr>
        <w:t>3. Trimiteri la alte acte legislative</w:t>
      </w: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 xml:space="preserve">Legislație UE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Directiva 2000/60/CE</w:t>
      </w:r>
      <w:r w:rsidRPr="00EB62EA">
        <w:rPr>
          <w:rFonts w:ascii="Trebuchet MS" w:eastAsia="Calibri" w:hAnsi="Trebuchet MS" w:cs="Times New Roman"/>
          <w:color w:val="auto"/>
          <w:kern w:val="0"/>
          <w:sz w:val="22"/>
          <w:szCs w:val="22"/>
          <w:lang w:val="ro-RO" w:eastAsia="en-US" w:bidi="ar-SA"/>
        </w:rPr>
        <w:t xml:space="preserve"> a Parlamentului European şi a Consiliului din 23 octombrie 2000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R(UE) nr. 1303/2013</w:t>
      </w:r>
      <w:r w:rsidRPr="00EB62EA">
        <w:rPr>
          <w:rFonts w:ascii="Trebuchet MS" w:eastAsia="Calibri" w:hAnsi="Trebuchet MS" w:cs="Times New Roman"/>
          <w:color w:val="auto"/>
          <w:kern w:val="0"/>
          <w:sz w:val="22"/>
          <w:szCs w:val="22"/>
          <w:lang w:val="ro-RO" w:eastAsia="en-US" w:bidi="ar-SA"/>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R (UE) nr. 480/2014</w:t>
      </w:r>
      <w:r w:rsidRPr="00EB62EA">
        <w:rPr>
          <w:rFonts w:ascii="Trebuchet MS" w:eastAsia="Calibri" w:hAnsi="Trebuchet MS" w:cs="Times New Roman"/>
          <w:color w:val="auto"/>
          <w:kern w:val="0"/>
          <w:sz w:val="22"/>
          <w:szCs w:val="22"/>
          <w:lang w:val="ro-RO" w:eastAsia="en-US" w:bidi="ar-SA"/>
        </w:rPr>
        <w:t xml:space="preserve"> de completare a R (UE) nr. 1303/2013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R (UE) nr. 808/2014</w:t>
      </w:r>
      <w:r w:rsidRPr="00EB62EA">
        <w:rPr>
          <w:rFonts w:ascii="Trebuchet MS" w:eastAsia="Calibri" w:hAnsi="Trebuchet MS" w:cs="Times New Roman"/>
          <w:color w:val="auto"/>
          <w:kern w:val="0"/>
          <w:sz w:val="22"/>
          <w:szCs w:val="22"/>
          <w:lang w:val="ro-RO" w:eastAsia="en-US" w:bidi="ar-SA"/>
        </w:rPr>
        <w:t xml:space="preserve"> de stabilire a normelor de aplicare a R (UE) Nr. 1305/2013 </w:t>
      </w:r>
    </w:p>
    <w:p w:rsidR="00EB62EA" w:rsidRPr="00EB62EA" w:rsidRDefault="00EB62EA" w:rsidP="00EB62EA">
      <w:pPr>
        <w:autoSpaceDE w:val="0"/>
        <w:autoSpaceDN w:val="0"/>
        <w:adjustRightInd w:val="0"/>
        <w:spacing w:line="276" w:lineRule="auto"/>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Legislație Națională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b/>
          <w:color w:val="auto"/>
          <w:kern w:val="0"/>
          <w:sz w:val="22"/>
          <w:szCs w:val="22"/>
          <w:lang w:val="ro-RO" w:eastAsia="en-US" w:bidi="ar-SA"/>
        </w:rPr>
      </w:pPr>
      <w:r w:rsidRPr="00EB62EA">
        <w:rPr>
          <w:rFonts w:ascii="Trebuchet MS" w:eastAsia="Arial Unicode MS" w:hAnsi="Trebuchet MS" w:cs="Times New Roman"/>
          <w:b/>
          <w:color w:val="auto"/>
          <w:kern w:val="0"/>
          <w:sz w:val="22"/>
          <w:szCs w:val="22"/>
          <w:lang w:val="ro-RO" w:eastAsia="en-US" w:bidi="ar-SA"/>
        </w:rPr>
        <w:t>Hotărârea Guvernului nr. 226 din 2 aprilie 2015</w:t>
      </w:r>
      <w:r w:rsidRPr="00EB62EA">
        <w:rPr>
          <w:rFonts w:ascii="Trebuchet MS" w:eastAsia="Arial Unicode MS" w:hAnsi="Trebuchet MS" w:cs="Times New Roman"/>
          <w:color w:val="auto"/>
          <w:kern w:val="0"/>
          <w:sz w:val="22"/>
          <w:szCs w:val="22"/>
          <w:lang w:val="ro-RO" w:eastAsia="en-US" w:bidi="ar-SA"/>
        </w:rPr>
        <w:t xml:space="preserve"> privind stabilirea cadrului general de implementare a măsurilor programului naţional de dezvoltare rurală cofinanţate din Fondul European Agricol pentru Dezvoltare Rurală şi de la bugetul de stat</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Legea nr. 263/2007</w:t>
      </w:r>
      <w:r w:rsidRPr="00EB62EA">
        <w:rPr>
          <w:rFonts w:ascii="Trebuchet MS" w:eastAsia="Calibri" w:hAnsi="Trebuchet MS" w:cs="Times New Roman"/>
          <w:color w:val="auto"/>
          <w:kern w:val="0"/>
          <w:sz w:val="22"/>
          <w:szCs w:val="22"/>
          <w:lang w:val="ro-RO" w:eastAsia="en-US" w:bidi="ar-SA"/>
        </w:rPr>
        <w:t xml:space="preserve"> privind înfiinţarea, organizarea şi funcţionarea creşelor;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Legea nr. 215/2001</w:t>
      </w:r>
      <w:r w:rsidRPr="00EB62EA">
        <w:rPr>
          <w:rFonts w:ascii="Trebuchet MS" w:eastAsia="Calibri" w:hAnsi="Trebuchet MS" w:cs="Times New Roman"/>
          <w:color w:val="auto"/>
          <w:kern w:val="0"/>
          <w:sz w:val="22"/>
          <w:szCs w:val="22"/>
          <w:lang w:val="ro-RO" w:eastAsia="en-US" w:bidi="ar-SA"/>
        </w:rPr>
        <w:t xml:space="preserve"> a administrației publice locale - republicată, cu modificările și completările ulterioare;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Hotărârea de Guvern nr 26/2000</w:t>
      </w:r>
      <w:r w:rsidRPr="00EB62EA">
        <w:rPr>
          <w:rFonts w:ascii="Trebuchet MS" w:eastAsia="Calibri" w:hAnsi="Trebuchet MS" w:cs="Times New Roman"/>
          <w:color w:val="auto"/>
          <w:kern w:val="0"/>
          <w:sz w:val="22"/>
          <w:szCs w:val="22"/>
          <w:lang w:val="ro-RO" w:eastAsia="en-US" w:bidi="ar-SA"/>
        </w:rPr>
        <w:t xml:space="preserve"> cu privire la asociații și fundații, cu modificările și completările ulterioare; </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p>
    <w:p w:rsidR="00EB62EA" w:rsidRPr="00EB62EA" w:rsidRDefault="00EB62EA" w:rsidP="00EB62EA">
      <w:pPr>
        <w:spacing w:line="276" w:lineRule="auto"/>
        <w:jc w:val="both"/>
        <w:rPr>
          <w:rFonts w:ascii="Trebuchet MS" w:eastAsia="Arial Unicode MS" w:hAnsi="Trebuchet MS" w:cs="Times New Roman"/>
          <w:b/>
          <w:color w:val="auto"/>
          <w:kern w:val="0"/>
          <w:sz w:val="22"/>
          <w:szCs w:val="22"/>
          <w:lang w:val="ro-RO" w:eastAsia="en-US" w:bidi="ar-SA"/>
        </w:rPr>
      </w:pPr>
      <w:r w:rsidRPr="00EB62EA">
        <w:rPr>
          <w:rFonts w:ascii="Trebuchet MS" w:eastAsia="Arial Unicode MS" w:hAnsi="Trebuchet MS" w:cs="Times New Roman"/>
          <w:b/>
          <w:color w:val="auto"/>
          <w:kern w:val="0"/>
          <w:sz w:val="22"/>
          <w:szCs w:val="22"/>
          <w:lang w:val="ro-RO" w:eastAsia="en-US" w:bidi="ar-SA"/>
        </w:rPr>
        <w:t>4.</w:t>
      </w:r>
      <w:r w:rsidRPr="00EB62EA">
        <w:rPr>
          <w:rFonts w:ascii="Trebuchet MS" w:eastAsia="Arial Unicode MS" w:hAnsi="Trebuchet MS" w:cs="Times New Roman"/>
          <w:color w:val="auto"/>
          <w:kern w:val="0"/>
          <w:sz w:val="22"/>
          <w:szCs w:val="22"/>
          <w:lang w:val="ro-RO" w:eastAsia="en-US" w:bidi="ar-SA"/>
        </w:rPr>
        <w:t xml:space="preserve"> </w:t>
      </w:r>
      <w:r w:rsidRPr="00EB62EA">
        <w:rPr>
          <w:rFonts w:ascii="Trebuchet MS" w:eastAsia="Arial Unicode MS" w:hAnsi="Trebuchet MS" w:cs="Times New Roman"/>
          <w:b/>
          <w:color w:val="auto"/>
          <w:kern w:val="0"/>
          <w:sz w:val="22"/>
          <w:szCs w:val="22"/>
          <w:lang w:val="ro-RO" w:eastAsia="en-US" w:bidi="ar-SA"/>
        </w:rPr>
        <w:t>Beneficiari direcți/indirecți (grup țintă)</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b/>
          <w:color w:val="auto"/>
          <w:kern w:val="0"/>
          <w:sz w:val="22"/>
          <w:szCs w:val="22"/>
          <w:lang w:val="ro-RO" w:eastAsia="en-US" w:bidi="ar-SA"/>
        </w:rPr>
        <w:t>Beneficiari direcți</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Comunele și asociațiile acestora conform legislației naționale în vigoare;</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ONG-uri pentru investiții în socială (infrastructură de tip after-school). </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GAL Valea Șomuzului, în situația în care în urma lansării primului apel de selecție nu se depun proiecte, cu respectarea legislației specifice.</w:t>
      </w:r>
    </w:p>
    <w:p w:rsidR="00EB62EA" w:rsidRPr="00EB62EA" w:rsidRDefault="00EB62EA" w:rsidP="00EB62EA">
      <w:pPr>
        <w:tabs>
          <w:tab w:val="left" w:pos="270"/>
        </w:tabs>
        <w:autoSpaceDE w:val="0"/>
        <w:autoSpaceDN w:val="0"/>
        <w:adjustRightInd w:val="0"/>
        <w:spacing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-toți beneficiarii direcți trebuie să aibă sediul social sau punctul de lucru în teritoriul Gal Valea Șomuzului, iar investiția trebuie să se realizeze pe teritoriul Gal Valea Șomuzului.</w:t>
      </w:r>
    </w:p>
    <w:p w:rsidR="00EB62EA" w:rsidRPr="00EB62EA" w:rsidRDefault="00EB62EA" w:rsidP="00EB62EA">
      <w:pPr>
        <w:tabs>
          <w:tab w:val="left" w:pos="270"/>
        </w:tabs>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Beneficiari indirecți (grup țintă):</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Minoritățile etnice din teritoriul GAL Valea Șomuzului</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Copii care vor beneficia de activitățile desfășurate în cadrul centrelor</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Personalul auxiliar ce se va ocupa de funcționarea structurii de tip after school</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Populația din teritoriul GAL Valea Șomuzului</w:t>
      </w:r>
    </w:p>
    <w:p w:rsidR="00EB62EA" w:rsidRPr="00EB62EA" w:rsidRDefault="00EB62EA" w:rsidP="00EB62EA">
      <w:pPr>
        <w:autoSpaceDE w:val="0"/>
        <w:autoSpaceDN w:val="0"/>
        <w:adjustRightInd w:val="0"/>
        <w:spacing w:line="276" w:lineRule="auto"/>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5. Tip de sprijin</w:t>
      </w:r>
    </w:p>
    <w:p w:rsidR="00EB62EA" w:rsidRPr="00EB62EA" w:rsidRDefault="00EB62EA" w:rsidP="00EB62EA">
      <w:pPr>
        <w:autoSpaceDE w:val="0"/>
        <w:autoSpaceDN w:val="0"/>
        <w:adjustRightInd w:val="0"/>
        <w:spacing w:line="276" w:lineRule="auto"/>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rambursarea costurilor eligibile suportate și plătite efectiv</w:t>
      </w:r>
    </w:p>
    <w:p w:rsidR="00EB62EA" w:rsidRPr="00EB62EA" w:rsidRDefault="00EB62EA" w:rsidP="00EB62EA">
      <w:pPr>
        <w:autoSpaceDE w:val="0"/>
        <w:autoSpaceDN w:val="0"/>
        <w:adjustRightInd w:val="0"/>
        <w:spacing w:line="276" w:lineRule="auto"/>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6.</w:t>
      </w:r>
      <w:r w:rsidRPr="00EB62EA">
        <w:rPr>
          <w:rFonts w:ascii="Trebuchet MS" w:eastAsia="Calibri" w:hAnsi="Trebuchet MS" w:cs="Times New Roman"/>
          <w:color w:val="auto"/>
          <w:kern w:val="0"/>
          <w:sz w:val="22"/>
          <w:szCs w:val="22"/>
          <w:lang w:val="ro-RO" w:eastAsia="en-US" w:bidi="ar-SA"/>
        </w:rPr>
        <w:t xml:space="preserve"> </w:t>
      </w:r>
      <w:r w:rsidRPr="00EB62EA">
        <w:rPr>
          <w:rFonts w:ascii="Trebuchet MS" w:eastAsia="Calibri" w:hAnsi="Trebuchet MS" w:cs="Times New Roman"/>
          <w:b/>
          <w:color w:val="auto"/>
          <w:kern w:val="0"/>
          <w:sz w:val="22"/>
          <w:szCs w:val="22"/>
          <w:lang w:val="ro-RO" w:eastAsia="en-US" w:bidi="ar-SA"/>
        </w:rPr>
        <w:t>Tipuri de acțiuni eligibile și neeligibile</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val="ro-RO" w:eastAsia="en-US" w:bidi="ar-SA"/>
        </w:rPr>
        <w:lastRenderedPageBreak/>
        <w:t xml:space="preserve">În stabilirea  </w:t>
      </w:r>
      <w:r w:rsidRPr="00EB62EA">
        <w:rPr>
          <w:rFonts w:ascii="Trebuchet MS" w:eastAsia="Calibri" w:hAnsi="Trebuchet MS" w:cs="Trebuchet MS"/>
          <w:color w:val="auto"/>
          <w:kern w:val="0"/>
          <w:sz w:val="22"/>
          <w:szCs w:val="22"/>
          <w:lang w:eastAsia="en-US" w:bidi="ar-SA"/>
        </w:rPr>
        <w:t xml:space="preserve">tipurile de acțiuni eligibile și neeligibile, s-a ținut cont de următoarele: </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eastAsia="en-US" w:bidi="ar-SA"/>
        </w:rPr>
        <w:t xml:space="preserve">- art. 65 din Reg. (UE) nr. 1303/2013; </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eastAsia="en-US" w:bidi="ar-SA"/>
        </w:rPr>
        <w:t xml:space="preserve">- art. 69(3) din Reg. (UE) nr. 1303/2013; </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eastAsia="en-US" w:bidi="ar-SA"/>
        </w:rPr>
        <w:t xml:space="preserve">- art. 45 din Reg. (UE) nr. 1305/2013; </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eastAsia="en-US" w:bidi="ar-SA"/>
        </w:rPr>
        <w:t xml:space="preserve">- art. 13 din Reg. (UE) nr. 807/2014; </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eastAsia="en-US" w:bidi="ar-SA"/>
        </w:rPr>
        <w:t xml:space="preserve">- prevederile din PNDR – cap. 8.1 și fișa tehnică a sub-măsurii 19.2; </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eastAsia="en-US" w:bidi="ar-SA"/>
        </w:rPr>
        <w:t xml:space="preserve">- aspectele privind demarcarea și complementaritatea operațiunilor; </w:t>
      </w: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rebuchet MS"/>
          <w:color w:val="auto"/>
          <w:kern w:val="0"/>
          <w:lang w:eastAsia="en-US" w:bidi="ar-SA"/>
        </w:rPr>
        <w:t xml:space="preserve">- respectarea schemei de ajutor de minimis (dacă este cazul). </w:t>
      </w: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Acțiuni eligibile:</w:t>
      </w:r>
    </w:p>
    <w:p w:rsidR="00EB62EA" w:rsidRPr="00EB62EA" w:rsidRDefault="00EB62EA" w:rsidP="00EB62EA">
      <w:pPr>
        <w:numPr>
          <w:ilvl w:val="0"/>
          <w:numId w:val="7"/>
        </w:numPr>
        <w:autoSpaceDE w:val="0"/>
        <w:autoSpaceDN w:val="0"/>
        <w:adjustRightInd w:val="0"/>
        <w:spacing w:after="160" w:line="254"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înființarea și dotarea structurilor de tip after-school numai a celor din afara incintei școlilor din mediul rural, </w:t>
      </w: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Acțiuni neeligibile:</w:t>
      </w:r>
    </w:p>
    <w:p w:rsidR="00EB62EA" w:rsidRPr="00EB62EA" w:rsidRDefault="00EB62EA" w:rsidP="00EB62EA">
      <w:pPr>
        <w:numPr>
          <w:ilvl w:val="0"/>
          <w:numId w:val="7"/>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Contribuția în natură; </w:t>
      </w:r>
    </w:p>
    <w:p w:rsidR="00EB62EA" w:rsidRPr="00EB62EA" w:rsidRDefault="00EB62EA" w:rsidP="00EB62EA">
      <w:pPr>
        <w:numPr>
          <w:ilvl w:val="0"/>
          <w:numId w:val="7"/>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Costuri privind închirierea de mașini, utilaje, instalații și echipamente; </w:t>
      </w:r>
    </w:p>
    <w:p w:rsidR="00EB62EA" w:rsidRPr="00EB62EA" w:rsidRDefault="00EB62EA" w:rsidP="00EB62EA">
      <w:pPr>
        <w:numPr>
          <w:ilvl w:val="0"/>
          <w:numId w:val="7"/>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Costuri operaționale inclusiv costuri de întreținere și chirie. </w:t>
      </w:r>
    </w:p>
    <w:p w:rsidR="00EB62EA" w:rsidRPr="00EB62EA" w:rsidRDefault="00EB62EA" w:rsidP="00EB62EA">
      <w:pPr>
        <w:autoSpaceDE w:val="0"/>
        <w:autoSpaceDN w:val="0"/>
        <w:adjustRightInd w:val="0"/>
        <w:spacing w:line="276" w:lineRule="auto"/>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7. </w:t>
      </w:r>
      <w:r w:rsidRPr="00EB62EA">
        <w:rPr>
          <w:rFonts w:ascii="Trebuchet MS" w:eastAsia="Calibri" w:hAnsi="Trebuchet MS" w:cs="Times New Roman"/>
          <w:b/>
          <w:color w:val="auto"/>
          <w:kern w:val="0"/>
          <w:sz w:val="22"/>
          <w:szCs w:val="22"/>
          <w:lang w:val="ro-RO" w:eastAsia="en-US" w:bidi="ar-SA"/>
        </w:rPr>
        <w:t>Condiții de eligibilitate</w:t>
      </w:r>
    </w:p>
    <w:p w:rsidR="00EB62EA" w:rsidRPr="00EB62EA" w:rsidRDefault="00EB62EA" w:rsidP="00EB62EA">
      <w:pPr>
        <w:autoSpaceDE w:val="0"/>
        <w:autoSpaceDN w:val="0"/>
        <w:adjustRightInd w:val="0"/>
        <w:spacing w:line="276" w:lineRule="auto"/>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Condiții de eligibilitate </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Solicitantul trebuie să se încadreze în categoria beneficiarilor eligibili; </w:t>
      </w:r>
    </w:p>
    <w:p w:rsidR="00EB62EA" w:rsidRPr="00EB62EA" w:rsidRDefault="00EB62EA" w:rsidP="00EB62EA">
      <w:pPr>
        <w:numPr>
          <w:ilvl w:val="0"/>
          <w:numId w:val="8"/>
        </w:numPr>
        <w:tabs>
          <w:tab w:val="left" w:pos="567"/>
        </w:tabs>
        <w:spacing w:after="160" w:line="254" w:lineRule="auto"/>
        <w:jc w:val="both"/>
        <w:rPr>
          <w:rFonts w:ascii="Trebuchet MS" w:eastAsia="Calibri" w:hAnsi="Trebuchet MS" w:cs="Times New Roman"/>
          <w:color w:val="auto"/>
          <w:kern w:val="0"/>
          <w:sz w:val="22"/>
          <w:szCs w:val="22"/>
          <w:lang w:eastAsia="ro-RO" w:bidi="ar-SA"/>
        </w:rPr>
      </w:pPr>
      <w:r w:rsidRPr="00EB62EA">
        <w:rPr>
          <w:rFonts w:ascii="Trebuchet MS" w:eastAsia="Calibri" w:hAnsi="Trebuchet MS" w:cs="Times New Roman"/>
          <w:color w:val="auto"/>
          <w:kern w:val="0"/>
          <w:sz w:val="22"/>
          <w:szCs w:val="22"/>
          <w:lang w:eastAsia="ro-RO" w:bidi="ar-SA"/>
        </w:rPr>
        <w:t>Investiția trebuie să se realizeze în cadrul teritoriului GAL Valea Șomuzului</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Solicitantul trebuie să se angajeze să asigure întreținerea/mentenanța investiţiei pe o perioadă de minim 5 ani de la ultima plată; </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Solicitantul trebuie să nu fie în insolvenţă sau incapacitate de plată; </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Investiția trebuie să se încadreze în tipul de sprijin prevăzut prin sub-măsură; </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Investiția să se realizeze în spațiul rural; </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Investiția trebuie să fie în corelare cu orice strategie de dezvoltare națională/regională/județeană/locală aprobată, corespunzătoare domeniului de investiții; </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Investiția trebuie să respecte Planul Urbanistic General; </w:t>
      </w:r>
    </w:p>
    <w:p w:rsidR="00EB62EA" w:rsidRPr="00EB62EA" w:rsidRDefault="00EB62EA" w:rsidP="00EB62EA">
      <w:pPr>
        <w:numPr>
          <w:ilvl w:val="0"/>
          <w:numId w:val="8"/>
        </w:numPr>
        <w:autoSpaceDE w:val="0"/>
        <w:autoSpaceDN w:val="0"/>
        <w:adjustRightInd w:val="0"/>
        <w:spacing w:after="160" w:line="276"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Investiția trebuie să demonstreze necesitatea, oportunitatea și potențialul economic al acesteia; </w:t>
      </w:r>
    </w:p>
    <w:p w:rsidR="00EB62EA" w:rsidRPr="00EB62EA" w:rsidRDefault="00EB62EA" w:rsidP="00EB62EA">
      <w:pPr>
        <w:numPr>
          <w:ilvl w:val="0"/>
          <w:numId w:val="8"/>
        </w:numPr>
        <w:autoSpaceDE w:val="0"/>
        <w:autoSpaceDN w:val="0"/>
        <w:adjustRightInd w:val="0"/>
        <w:spacing w:after="160" w:line="276"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Pentru asigurarea sustenabilității proiectelor depuse în cadrul acestei măsuri care vizează înființarea sau îmbunătățirea infrastructurii sociale, beneficiarii pot</w:t>
      </w:r>
    </w:p>
    <w:p w:rsidR="00EB62EA" w:rsidRPr="00EB62EA" w:rsidRDefault="00EB62EA" w:rsidP="00EB62EA">
      <w:pPr>
        <w:numPr>
          <w:ilvl w:val="0"/>
          <w:numId w:val="8"/>
        </w:numPr>
        <w:autoSpaceDE w:val="0"/>
        <w:autoSpaceDN w:val="0"/>
        <w:adjustRightInd w:val="0"/>
        <w:spacing w:after="160" w:line="276"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solicita finanțare prin Axa 5 POCU, prin depunerea unui proiect distinct cu respectarea</w:t>
      </w:r>
    </w:p>
    <w:p w:rsidR="00EB62EA" w:rsidRPr="00EB62EA" w:rsidRDefault="00EB62EA" w:rsidP="00EB62EA">
      <w:pPr>
        <w:numPr>
          <w:ilvl w:val="0"/>
          <w:numId w:val="8"/>
        </w:numPr>
        <w:autoSpaceDE w:val="0"/>
        <w:autoSpaceDN w:val="0"/>
        <w:adjustRightInd w:val="0"/>
        <w:spacing w:after="160" w:line="276"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condițiilor specifice POCU</w:t>
      </w:r>
    </w:p>
    <w:p w:rsidR="00EB62EA" w:rsidRPr="00EB62EA" w:rsidRDefault="00EB62EA" w:rsidP="00EB62EA">
      <w:pPr>
        <w:numPr>
          <w:ilvl w:val="0"/>
          <w:numId w:val="8"/>
        </w:numPr>
        <w:autoSpaceDE w:val="0"/>
        <w:autoSpaceDN w:val="0"/>
        <w:adjustRightInd w:val="0"/>
        <w:spacing w:after="160" w:line="276"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Solicitantul trebuie să demonstreze operaționalizarea structurii de către o entitate ca furnizor de servicii sociale </w:t>
      </w:r>
    </w:p>
    <w:p w:rsidR="00EB62EA" w:rsidRPr="00EB62EA" w:rsidRDefault="00EB62EA" w:rsidP="00EB62EA">
      <w:pPr>
        <w:numPr>
          <w:ilvl w:val="0"/>
          <w:numId w:val="8"/>
        </w:numPr>
        <w:autoSpaceDE w:val="0"/>
        <w:autoSpaceDN w:val="0"/>
        <w:adjustRightInd w:val="0"/>
        <w:spacing w:after="160" w:line="276" w:lineRule="auto"/>
        <w:contextualSpacing/>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numPr>
          <w:ilvl w:val="0"/>
          <w:numId w:val="8"/>
        </w:numPr>
        <w:autoSpaceDE w:val="0"/>
        <w:autoSpaceDN w:val="0"/>
        <w:adjustRightInd w:val="0"/>
        <w:spacing w:after="160" w:line="276"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infrastructura socială nu trebuie să fie de tip rezidențial</w:t>
      </w: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8. Criterii de selecție</w:t>
      </w:r>
    </w:p>
    <w:p w:rsidR="00EB62EA" w:rsidRPr="00EB62EA" w:rsidRDefault="00EB62EA" w:rsidP="00EB62EA">
      <w:pPr>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Criteriile de selecție vor fi stabilite pe baza următoarelor principii</w:t>
      </w: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Criterii generale conform PNDR 2014-2020</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Principiul gradului de acoperire a populației deservite.</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lastRenderedPageBreak/>
        <w:t xml:space="preserve">Principiul prioritizării tipului de investiție în funcție de gradul de dezvoltare socio-economică a zonei determinată în baza studiilor de specialitate – Studiu privind stabilirea potențialului socio-economic de dezvoltare a zonelor rurale asumat de către MADR; </w:t>
      </w: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Criterii de selecție specifice GAL Valea Șomuzului</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Proiecte care integrează soluții pentru probleme de protejare a mediului/eficiență energetică</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Proiecte care prevăd acțiuni inovative</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spacing w:line="276" w:lineRule="auto"/>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9.</w:t>
      </w:r>
      <w:r w:rsidRPr="00EB62EA">
        <w:rPr>
          <w:rFonts w:ascii="Trebuchet MS" w:eastAsia="Calibri" w:hAnsi="Trebuchet MS" w:cs="Times New Roman"/>
          <w:color w:val="auto"/>
          <w:kern w:val="0"/>
          <w:sz w:val="22"/>
          <w:szCs w:val="22"/>
          <w:lang w:val="ro-RO" w:eastAsia="en-US" w:bidi="ar-SA"/>
        </w:rPr>
        <w:t xml:space="preserve"> </w:t>
      </w:r>
      <w:r w:rsidRPr="00EB62EA">
        <w:rPr>
          <w:rFonts w:ascii="Trebuchet MS" w:eastAsia="Calibri" w:hAnsi="Trebuchet MS" w:cs="Times New Roman"/>
          <w:b/>
          <w:color w:val="auto"/>
          <w:kern w:val="0"/>
          <w:sz w:val="22"/>
          <w:szCs w:val="22"/>
          <w:lang w:val="ro-RO" w:eastAsia="en-US" w:bidi="ar-SA"/>
        </w:rPr>
        <w:t>Sume (aplicabile) și rata sprijinului</w:t>
      </w:r>
    </w:p>
    <w:p w:rsidR="00EB62EA" w:rsidRPr="00EB62EA" w:rsidRDefault="00EB62EA" w:rsidP="00EB62EA">
      <w:pPr>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Sprijinul public nerambu</w:t>
      </w:r>
      <w:r w:rsidR="008F224A">
        <w:rPr>
          <w:rFonts w:ascii="Trebuchet MS" w:eastAsia="Calibri" w:hAnsi="Trebuchet MS" w:cs="Times New Roman"/>
          <w:color w:val="auto"/>
          <w:kern w:val="0"/>
          <w:sz w:val="22"/>
          <w:szCs w:val="22"/>
          <w:lang w:val="ro-RO" w:eastAsia="en-US" w:bidi="ar-SA"/>
        </w:rPr>
        <w:t xml:space="preserve">rsabil este de 149.577,29 euro </w:t>
      </w:r>
    </w:p>
    <w:p w:rsidR="00EB62EA" w:rsidRPr="00EB62EA" w:rsidRDefault="00EB62EA" w:rsidP="00EB62EA">
      <w:pPr>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Ajutorul public acordat în cadrul acestei măsuri este maxim 100% din totalul cheltuielilor eligibile.</w:t>
      </w:r>
    </w:p>
    <w:p w:rsidR="00EB62EA" w:rsidRPr="00EB62EA" w:rsidRDefault="00EB62EA" w:rsidP="00EB62EA">
      <w:pPr>
        <w:autoSpaceDE w:val="0"/>
        <w:autoSpaceDN w:val="0"/>
        <w:adjustRightInd w:val="0"/>
        <w:spacing w:line="360" w:lineRule="auto"/>
        <w:contextualSpacing/>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spacing w:line="360"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10.</w:t>
      </w:r>
      <w:r w:rsidRPr="00EB62EA">
        <w:rPr>
          <w:rFonts w:ascii="Trebuchet MS" w:eastAsia="Calibri" w:hAnsi="Trebuchet MS" w:cs="Times New Roman"/>
          <w:color w:val="auto"/>
          <w:kern w:val="0"/>
          <w:sz w:val="22"/>
          <w:szCs w:val="22"/>
          <w:lang w:val="ro-RO" w:eastAsia="en-US" w:bidi="ar-SA"/>
        </w:rPr>
        <w:t xml:space="preserve"> </w:t>
      </w:r>
      <w:r w:rsidRPr="00EB62EA">
        <w:rPr>
          <w:rFonts w:ascii="Trebuchet MS" w:eastAsia="Calibri" w:hAnsi="Trebuchet MS" w:cs="Times New Roman"/>
          <w:b/>
          <w:color w:val="auto"/>
          <w:kern w:val="0"/>
          <w:sz w:val="22"/>
          <w:szCs w:val="22"/>
          <w:lang w:val="ro-RO" w:eastAsia="en-US" w:bidi="ar-SA"/>
        </w:rPr>
        <w:t>Indicatori de monitorizare</w:t>
      </w:r>
    </w:p>
    <w:p w:rsidR="00EB62EA" w:rsidRPr="00EB62EA" w:rsidRDefault="00EB62EA" w:rsidP="00EB62EA">
      <w:pPr>
        <w:widowControl w:val="0"/>
        <w:autoSpaceDE w:val="0"/>
        <w:autoSpaceDN w:val="0"/>
        <w:adjustRightInd w:val="0"/>
        <w:spacing w:after="160" w:line="360" w:lineRule="auto"/>
        <w:contextualSpacing/>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Populație netă care beneficiază de servicii/infrastructură îmbunătățită- - minim 80 de copii</w:t>
      </w:r>
      <w:r w:rsidRPr="00EB62EA" w:rsidDel="00294A2E">
        <w:rPr>
          <w:rFonts w:ascii="Trebuchet MS" w:eastAsia="Arial Unicode MS" w:hAnsi="Trebuchet MS" w:cs="Times New Roman"/>
          <w:color w:val="FF0000"/>
          <w:kern w:val="0"/>
          <w:sz w:val="22"/>
          <w:szCs w:val="22"/>
          <w:lang w:val="ro-RO" w:eastAsia="en-US" w:bidi="ar-SA"/>
        </w:rPr>
        <w:t xml:space="preserve"> </w:t>
      </w:r>
      <w:r w:rsidRPr="00EB62EA">
        <w:rPr>
          <w:rFonts w:ascii="Trebuchet MS" w:eastAsia="Arial Unicode MS" w:hAnsi="Trebuchet MS" w:cs="Times New Roman"/>
          <w:color w:val="FF0000"/>
          <w:kern w:val="0"/>
          <w:sz w:val="22"/>
          <w:szCs w:val="22"/>
          <w:lang w:val="ro-RO" w:eastAsia="en-US" w:bidi="ar-SA"/>
        </w:rPr>
        <w:t xml:space="preserve"> </w:t>
      </w:r>
      <w:r w:rsidRPr="00EB62EA">
        <w:rPr>
          <w:rFonts w:ascii="Trebuchet MS" w:eastAsia="Arial Unicode MS" w:hAnsi="Trebuchet MS" w:cs="Times New Roman"/>
          <w:color w:val="auto"/>
          <w:kern w:val="0"/>
          <w:sz w:val="22"/>
          <w:szCs w:val="22"/>
          <w:lang w:val="ro-RO" w:eastAsia="en-US" w:bidi="ar-SA"/>
        </w:rPr>
        <w:t xml:space="preserve">      </w:t>
      </w:r>
    </w:p>
    <w:p w:rsidR="00EB62EA" w:rsidRPr="00EB62EA" w:rsidRDefault="00EB62EA" w:rsidP="00EB62EA">
      <w:pPr>
        <w:spacing w:line="360" w:lineRule="auto"/>
        <w:contextualSpacing/>
        <w:jc w:val="both"/>
        <w:rPr>
          <w:rFonts w:ascii="Trebuchet MS" w:eastAsia="Arial Unicode MS" w:hAnsi="Trebuchet MS" w:cs="Times New Roman"/>
          <w:color w:val="auto"/>
          <w:kern w:val="0"/>
          <w:sz w:val="21"/>
          <w:szCs w:val="21"/>
          <w:lang w:val="ro-RO" w:eastAsia="en-US" w:bidi="ar-SA"/>
        </w:rPr>
      </w:pPr>
      <w:r w:rsidRPr="00EB62EA">
        <w:rPr>
          <w:rFonts w:ascii="Trebuchet MS" w:eastAsia="Arial Unicode MS" w:hAnsi="Trebuchet MS" w:cs="Times New Roman"/>
          <w:color w:val="auto"/>
          <w:kern w:val="0"/>
          <w:sz w:val="21"/>
          <w:szCs w:val="21"/>
          <w:lang w:val="ro-RO" w:eastAsia="en-US" w:bidi="ar-SA"/>
        </w:rPr>
        <w:t>Număr unități sociale înființate/modernizate-Sau Număr proiecte care prevăd acțiuni inovative – minim 2</w:t>
      </w:r>
    </w:p>
    <w:p w:rsidR="00EB62EA" w:rsidRPr="00EB62EA" w:rsidRDefault="00EB62EA" w:rsidP="00EB62EA">
      <w:pPr>
        <w:spacing w:line="360" w:lineRule="auto"/>
        <w:contextualSpacing/>
        <w:jc w:val="both"/>
        <w:rPr>
          <w:rFonts w:ascii="Trebuchet MS" w:eastAsia="Arial Unicode MS" w:hAnsi="Trebuchet MS" w:cs="Times New Roman"/>
          <w:color w:val="auto"/>
          <w:kern w:val="0"/>
          <w:sz w:val="22"/>
          <w:szCs w:val="22"/>
          <w:lang w:val="ro-RO" w:eastAsia="en-US" w:bidi="ar-SA"/>
        </w:rPr>
      </w:pPr>
      <w:bookmarkStart w:id="0" w:name="_GoBack"/>
      <w:bookmarkEnd w:id="0"/>
    </w:p>
    <w:p w:rsidR="00EB62EA" w:rsidRPr="00EB62EA" w:rsidRDefault="00EB62EA" w:rsidP="00EB62EA">
      <w:pPr>
        <w:spacing w:line="360" w:lineRule="auto"/>
        <w:contextualSpacing/>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Indicator de monitorizare suplimentar:</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Cheltuiala publică totală – 149.577,29 euro</w:t>
      </w:r>
    </w:p>
    <w:p w:rsidR="00AB452C" w:rsidRDefault="00AB452C" w:rsidP="00EB62EA">
      <w:pPr>
        <w:pStyle w:val="BodyText"/>
        <w:spacing w:line="240" w:lineRule="auto"/>
      </w:pPr>
    </w:p>
    <w:sectPr w:rsidR="00AB452C">
      <w:headerReference w:type="default" r:id="rId8"/>
      <w:pgSz w:w="11906" w:h="16838"/>
      <w:pgMar w:top="1693" w:right="1134" w:bottom="1134" w:left="1134" w:header="1134" w:footer="0" w:gutter="0"/>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95" w:rsidRDefault="00405895">
      <w:r>
        <w:separator/>
      </w:r>
    </w:p>
  </w:endnote>
  <w:endnote w:type="continuationSeparator" w:id="0">
    <w:p w:rsidR="00405895" w:rsidRDefault="0040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95" w:rsidRDefault="00405895">
      <w:r>
        <w:separator/>
      </w:r>
    </w:p>
  </w:footnote>
  <w:footnote w:type="continuationSeparator" w:id="0">
    <w:p w:rsidR="00405895" w:rsidRDefault="00405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2C" w:rsidRDefault="00405895">
    <w:pPr>
      <w:pStyle w:val="Header"/>
    </w:pPr>
    <w:r>
      <w:rPr>
        <w:noProof/>
        <w:lang w:eastAsia="en-US" w:bidi="ar-SA"/>
      </w:rPr>
      <w:drawing>
        <wp:anchor distT="0" distB="0" distL="0" distR="0" simplePos="0" relativeHeight="7" behindDoc="1" locked="0" layoutInCell="1" allowOverlap="1">
          <wp:simplePos x="0" y="0"/>
          <wp:positionH relativeFrom="column">
            <wp:align>center</wp:align>
          </wp:positionH>
          <wp:positionV relativeFrom="paragraph">
            <wp:posOffset>635</wp:posOffset>
          </wp:positionV>
          <wp:extent cx="6120130" cy="90551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6120130" cy="9055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B3770"/>
    <w:multiLevelType w:val="multilevel"/>
    <w:tmpl w:val="286AF4D6"/>
    <w:lvl w:ilvl="0">
      <w:start w:val="1"/>
      <w:numFmt w:val="bullet"/>
      <w:lvlText w:val=""/>
      <w:lvlJc w:val="left"/>
      <w:pPr>
        <w:tabs>
          <w:tab w:val="num" w:pos="720"/>
        </w:tabs>
        <w:ind w:left="720" w:hanging="360"/>
      </w:pPr>
      <w:rPr>
        <w:rFonts w:ascii="Wingdings" w:hAnsi="Wingdings" w:cs="OpenSymbol" w:hint="default"/>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nsid w:val="30706A73"/>
    <w:multiLevelType w:val="hybridMultilevel"/>
    <w:tmpl w:val="067AB42E"/>
    <w:lvl w:ilvl="0" w:tplc="199840BE">
      <w:start w:val="10"/>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27617E"/>
    <w:multiLevelType w:val="multilevel"/>
    <w:tmpl w:val="B4C80F00"/>
    <w:lvl w:ilvl="0">
      <w:start w:val="1"/>
      <w:numFmt w:val="bullet"/>
      <w:lvlText w:val=""/>
      <w:lvlJc w:val="left"/>
      <w:pPr>
        <w:tabs>
          <w:tab w:val="num" w:pos="720"/>
        </w:tabs>
        <w:ind w:left="720" w:hanging="360"/>
      </w:pPr>
      <w:rPr>
        <w:rFonts w:ascii="Wingdings" w:hAnsi="Wingdings" w:cs="OpenSymbol" w:hint="default"/>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453E206F"/>
    <w:multiLevelType w:val="hybridMultilevel"/>
    <w:tmpl w:val="CBAAC1C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DA87480"/>
    <w:multiLevelType w:val="hybridMultilevel"/>
    <w:tmpl w:val="1834E510"/>
    <w:lvl w:ilvl="0" w:tplc="199840BE">
      <w:start w:val="10"/>
      <w:numFmt w:val="bullet"/>
      <w:lvlText w:val="-"/>
      <w:lvlJc w:val="left"/>
      <w:pPr>
        <w:ind w:left="927" w:hanging="360"/>
      </w:pPr>
      <w:rPr>
        <w:rFonts w:ascii="Trebuchet MS" w:eastAsia="Calibri" w:hAnsi="Trebuchet M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5">
    <w:nsid w:val="60D338A9"/>
    <w:multiLevelType w:val="multilevel"/>
    <w:tmpl w:val="DAF6AC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63F45808"/>
    <w:multiLevelType w:val="hybridMultilevel"/>
    <w:tmpl w:val="D750B3DC"/>
    <w:lvl w:ilvl="0" w:tplc="199840BE">
      <w:start w:val="10"/>
      <w:numFmt w:val="bullet"/>
      <w:lvlText w:val="-"/>
      <w:lvlJc w:val="left"/>
      <w:pPr>
        <w:ind w:left="927"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2D76DDA"/>
    <w:multiLevelType w:val="hybridMultilevel"/>
    <w:tmpl w:val="2BB07A02"/>
    <w:lvl w:ilvl="0" w:tplc="199840BE">
      <w:start w:val="10"/>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452C"/>
    <w:rsid w:val="003E51DA"/>
    <w:rsid w:val="00405895"/>
    <w:rsid w:val="008E3416"/>
    <w:rsid w:val="008F224A"/>
    <w:rsid w:val="00AB452C"/>
    <w:rsid w:val="00B2201D"/>
    <w:rsid w:val="00EB62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Times New Roman" w:hAnsi="Times New Roman" w:cs="OpenSymbol"/>
      <w:sz w:val="24"/>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OpenSymbol"/>
      <w:sz w:val="24"/>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imes New Roman" w:hAnsi="Times New Roman" w:cs="OpenSymbol"/>
      <w:sz w:val="24"/>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Times New Roman" w:hAnsi="Times New Roman" w:cs="OpenSymbol"/>
      <w:sz w:val="24"/>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imes New Roman" w:hAnsi="Times New Roman" w:cs="OpenSymbol"/>
      <w:sz w:val="24"/>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Times New Roman" w:hAnsi="Times New Roman" w:cs="OpenSymbol"/>
      <w:sz w:val="24"/>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Marius</cp:lastModifiedBy>
  <cp:revision>40</cp:revision>
  <dcterms:created xsi:type="dcterms:W3CDTF">2018-01-10T12:30:00Z</dcterms:created>
  <dcterms:modified xsi:type="dcterms:W3CDTF">2018-03-06T07:26:00Z</dcterms:modified>
  <dc:language>ro-MD</dc:language>
</cp:coreProperties>
</file>